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DB" w:rsidRPr="00F70B28" w:rsidRDefault="00D87CCF" w:rsidP="00F70B28">
      <w:pPr>
        <w:jc w:val="center"/>
        <w:rPr>
          <w:rFonts w:ascii="Arial" w:hAnsi="Arial" w:cs="Arial"/>
          <w:b/>
          <w:sz w:val="28"/>
          <w:szCs w:val="28"/>
        </w:rPr>
      </w:pPr>
      <w:r w:rsidRPr="00F70B28"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1" locked="0" layoutInCell="1" allowOverlap="1" wp14:anchorId="2B335856" wp14:editId="6BD0A5DE">
            <wp:simplePos x="0" y="0"/>
            <wp:positionH relativeFrom="margin">
              <wp:posOffset>7153275</wp:posOffset>
            </wp:positionH>
            <wp:positionV relativeFrom="paragraph">
              <wp:posOffset>-381000</wp:posOffset>
            </wp:positionV>
            <wp:extent cx="2143125" cy="692775"/>
            <wp:effectExtent l="0" t="0" r="0" b="0"/>
            <wp:wrapNone/>
            <wp:docPr id="1" name="Picture 1" descr="E:\Curro Kathu InterSen\LOGO - CURRO KATHU -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rro Kathu InterSen\LOGO - CURRO KATHU - PR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E4AC3">
        <w:rPr>
          <w:rFonts w:ascii="Arial" w:hAnsi="Arial" w:cs="Arial"/>
          <w:b/>
          <w:sz w:val="28"/>
          <w:szCs w:val="28"/>
        </w:rPr>
        <w:t>Gra</w:t>
      </w:r>
      <w:r w:rsidR="004E60C8">
        <w:rPr>
          <w:rFonts w:ascii="Arial" w:hAnsi="Arial" w:cs="Arial"/>
          <w:b/>
          <w:sz w:val="28"/>
          <w:szCs w:val="28"/>
        </w:rPr>
        <w:t>ad</w:t>
      </w:r>
      <w:proofErr w:type="spellEnd"/>
      <w:r w:rsidR="00E0124E">
        <w:rPr>
          <w:rFonts w:ascii="Arial" w:hAnsi="Arial" w:cs="Arial"/>
          <w:b/>
          <w:sz w:val="28"/>
          <w:szCs w:val="28"/>
        </w:rPr>
        <w:t xml:space="preserve"> 5</w:t>
      </w:r>
    </w:p>
    <w:p w:rsidR="00D87CCF" w:rsidRPr="00F70B28" w:rsidRDefault="004E60C8" w:rsidP="00F70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ASSESSERINGS</w:t>
      </w:r>
      <w:r w:rsidR="00D87CCF" w:rsidRPr="00F70B28">
        <w:rPr>
          <w:rFonts w:ascii="Arial" w:hAnsi="Arial" w:cs="Arial"/>
          <w:b/>
          <w:sz w:val="24"/>
          <w:szCs w:val="24"/>
        </w:rPr>
        <w:t>PROGRAM 2016</w:t>
      </w:r>
    </w:p>
    <w:p w:rsidR="00D87CCF" w:rsidRPr="00F70B28" w:rsidRDefault="004E60C8" w:rsidP="00F70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DERDE KWARTAAL</w:t>
      </w:r>
    </w:p>
    <w:p w:rsidR="00D87CCF" w:rsidRPr="00F70B28" w:rsidRDefault="004E60C8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Om </w:t>
      </w:r>
      <w:proofErr w:type="spellStart"/>
      <w:r>
        <w:rPr>
          <w:rFonts w:ascii="Arial" w:hAnsi="Arial" w:cs="Arial"/>
        </w:rPr>
        <w:t>voorbereiding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navorsing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vergemaklik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leerders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vakke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gegroepeer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assessering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gebruik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meer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assessering</w:t>
      </w:r>
      <w:proofErr w:type="spellEnd"/>
      <w:r>
        <w:rPr>
          <w:rFonts w:ascii="Arial" w:hAnsi="Arial" w:cs="Arial"/>
        </w:rPr>
        <w:t xml:space="preserve"> take </w:t>
      </w:r>
      <w:proofErr w:type="spellStart"/>
      <w:proofErr w:type="gramStart"/>
      <w:r>
        <w:rPr>
          <w:rFonts w:ascii="Arial" w:hAnsi="Arial" w:cs="Arial"/>
        </w:rPr>
        <w:t>handel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algemen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graad</w:t>
      </w:r>
      <w:proofErr w:type="spellEnd"/>
      <w:r>
        <w:rPr>
          <w:rFonts w:ascii="Arial" w:hAnsi="Arial" w:cs="Arial"/>
        </w:rPr>
        <w:t>.</w:t>
      </w:r>
    </w:p>
    <w:p w:rsidR="00D87CCF" w:rsidRPr="00F70B28" w:rsidRDefault="004E60C8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Meeste</w:t>
      </w:r>
      <w:proofErr w:type="spellEnd"/>
      <w:r>
        <w:rPr>
          <w:rFonts w:ascii="Arial" w:hAnsi="Arial" w:cs="Arial"/>
        </w:rPr>
        <w:t xml:space="preserve"> van die </w:t>
      </w:r>
      <w:proofErr w:type="spellStart"/>
      <w:r>
        <w:rPr>
          <w:rFonts w:ascii="Arial" w:hAnsi="Arial" w:cs="Arial"/>
        </w:rPr>
        <w:t>assessering</w:t>
      </w:r>
      <w:proofErr w:type="spellEnd"/>
      <w:r>
        <w:rPr>
          <w:rFonts w:ascii="Arial" w:hAnsi="Arial" w:cs="Arial"/>
        </w:rPr>
        <w:t xml:space="preserve"> take word in die </w:t>
      </w:r>
      <w:proofErr w:type="spellStart"/>
      <w:r>
        <w:rPr>
          <w:rFonts w:ascii="Arial" w:hAnsi="Arial" w:cs="Arial"/>
        </w:rPr>
        <w:t>klas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voltooi</w:t>
      </w:r>
      <w:proofErr w:type="spellEnd"/>
      <w:r>
        <w:rPr>
          <w:rFonts w:ascii="Arial" w:hAnsi="Arial" w:cs="Arial"/>
        </w:rPr>
        <w:t>.</w:t>
      </w:r>
    </w:p>
    <w:p w:rsidR="00D87CCF" w:rsidRPr="00F70B28" w:rsidRDefault="004E60C8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Genoegsame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tyd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gegee</w:t>
      </w:r>
      <w:proofErr w:type="spellEnd"/>
      <w:r>
        <w:rPr>
          <w:rFonts w:ascii="Arial" w:hAnsi="Arial" w:cs="Arial"/>
        </w:rPr>
        <w:t xml:space="preserve"> in die </w:t>
      </w:r>
      <w:proofErr w:type="spellStart"/>
      <w:r>
        <w:rPr>
          <w:rFonts w:ascii="Arial" w:hAnsi="Arial" w:cs="Arial"/>
        </w:rPr>
        <w:t>daar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voorbereidings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getref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moet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‘n </w:t>
      </w:r>
      <w:proofErr w:type="spellStart"/>
      <w:r>
        <w:rPr>
          <w:rFonts w:ascii="Arial" w:hAnsi="Arial" w:cs="Arial"/>
        </w:rPr>
        <w:t>assessering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taak</w:t>
      </w:r>
      <w:proofErr w:type="spellEnd"/>
      <w:r>
        <w:rPr>
          <w:rFonts w:ascii="Arial" w:hAnsi="Arial" w:cs="Arial"/>
        </w:rPr>
        <w:t xml:space="preserve"> wat </w:t>
      </w:r>
      <w:proofErr w:type="spellStart"/>
      <w:r>
        <w:rPr>
          <w:rFonts w:ascii="Arial" w:hAnsi="Arial" w:cs="Arial"/>
        </w:rPr>
        <w:t>tuis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gedoen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moet</w:t>
      </w:r>
      <w:proofErr w:type="spellEnd"/>
      <w:r>
        <w:rPr>
          <w:rFonts w:ascii="Arial" w:hAnsi="Arial" w:cs="Arial"/>
        </w:rPr>
        <w:t xml:space="preserve"> word.</w:t>
      </w:r>
    </w:p>
    <w:p w:rsidR="00D87CCF" w:rsidRPr="00F70B28" w:rsidRDefault="004E60C8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Van die </w:t>
      </w:r>
      <w:proofErr w:type="spellStart"/>
      <w:r>
        <w:rPr>
          <w:rFonts w:ascii="Arial" w:hAnsi="Arial" w:cs="Arial"/>
        </w:rPr>
        <w:t>datums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verander</w:t>
      </w:r>
      <w:proofErr w:type="spellEnd"/>
      <w:r>
        <w:rPr>
          <w:rFonts w:ascii="Arial" w:hAnsi="Arial" w:cs="Arial"/>
        </w:rPr>
        <w:t xml:space="preserve"> maar 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deeglik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vroegtydig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leerders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gekommunikeer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deur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onderwyswer</w:t>
      </w:r>
      <w:proofErr w:type="spellEnd"/>
      <w:r>
        <w:rPr>
          <w:rFonts w:ascii="Arial" w:hAnsi="Arial" w:cs="Arial"/>
        </w:rPr>
        <w:t>.</w:t>
      </w:r>
    </w:p>
    <w:p w:rsidR="00F70B28" w:rsidRPr="00F70B28" w:rsidRDefault="004E60C8" w:rsidP="00D87C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KWARTAAL TOETSE BEGIN </w:t>
      </w:r>
      <w:r w:rsidR="001B13E7">
        <w:rPr>
          <w:rFonts w:ascii="Arial" w:hAnsi="Arial" w:cs="Arial"/>
          <w:b/>
        </w:rPr>
        <w:t xml:space="preserve"> 31 </w:t>
      </w:r>
      <w:r>
        <w:rPr>
          <w:rFonts w:ascii="Arial" w:hAnsi="Arial" w:cs="Arial"/>
          <w:b/>
        </w:rPr>
        <w:t>AUGUSTUS EN DATUMS SAL VROEGTYDIG AAN LEERDERS GEGE</w:t>
      </w:r>
      <w:r w:rsidR="001B13E7">
        <w:rPr>
          <w:rFonts w:ascii="Arial" w:hAnsi="Arial" w:cs="Arial"/>
          <w:b/>
        </w:rPr>
        <w:t>E WORD IN DIE VORM VAN ‘N TOETS</w:t>
      </w:r>
      <w:bookmarkStart w:id="0" w:name="_GoBack"/>
      <w:bookmarkEnd w:id="0"/>
      <w:r>
        <w:rPr>
          <w:rFonts w:ascii="Arial" w:hAnsi="Arial" w:cs="Arial"/>
          <w:b/>
        </w:rPr>
        <w:t>ROOSTER</w:t>
      </w:r>
    </w:p>
    <w:p w:rsidR="00D87CCF" w:rsidRPr="00F70B28" w:rsidRDefault="004E60C8" w:rsidP="00F70B2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Kwartaal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</w:t>
      </w:r>
      <w:proofErr w:type="spellEnd"/>
      <w:r w:rsidR="00D87CCF" w:rsidRPr="00F70B28">
        <w:rPr>
          <w:rFonts w:ascii="Arial" w:hAnsi="Arial" w:cs="Arial"/>
        </w:rPr>
        <w:t xml:space="preserve">: </w:t>
      </w:r>
      <w:r w:rsidR="00E0124E">
        <w:rPr>
          <w:rFonts w:ascii="Arial" w:hAnsi="Arial" w:cs="Arial"/>
          <w:b/>
          <w:u w:val="single"/>
        </w:rPr>
        <w:t>WEER EN KLIMAAT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18"/>
        <w:gridCol w:w="1701"/>
        <w:gridCol w:w="1842"/>
        <w:gridCol w:w="1985"/>
        <w:gridCol w:w="1417"/>
        <w:gridCol w:w="1560"/>
      </w:tblGrid>
      <w:tr w:rsidR="004E60C8" w:rsidRPr="00F70B2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Vakke</w:t>
            </w:r>
            <w:proofErr w:type="spellEnd"/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25 – 29 Jul.</w:t>
            </w: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 – 5 Aug.</w:t>
            </w: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8 – 12 Aug.</w:t>
            </w:r>
          </w:p>
        </w:tc>
        <w:tc>
          <w:tcPr>
            <w:tcW w:w="1701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15 – 19 Aug.</w:t>
            </w:r>
          </w:p>
        </w:tc>
        <w:tc>
          <w:tcPr>
            <w:tcW w:w="184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22 – 26 Aug.</w:t>
            </w:r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29 Aug – 2 Sept.</w:t>
            </w: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5 – 9 Sept.</w:t>
            </w: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12 – 16 Sept.</w:t>
            </w: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Huistaal</w:t>
            </w:r>
            <w:proofErr w:type="spellEnd"/>
          </w:p>
        </w:tc>
        <w:tc>
          <w:tcPr>
            <w:tcW w:w="1418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Skryf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Taal</w:t>
            </w:r>
            <w:proofErr w:type="spellEnd"/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Mondeling</w:t>
            </w:r>
            <w:proofErr w:type="spellEnd"/>
          </w:p>
        </w:tc>
        <w:tc>
          <w:tcPr>
            <w:tcW w:w="1701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Lees</w:t>
            </w:r>
          </w:p>
        </w:tc>
        <w:tc>
          <w:tcPr>
            <w:tcW w:w="1842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Taaltoets</w:t>
            </w:r>
            <w:proofErr w:type="spellEnd"/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</w:t>
            </w:r>
          </w:p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(English</w:t>
            </w:r>
            <w:r w:rsidRPr="00F70B2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418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Test</w:t>
            </w:r>
          </w:p>
        </w:tc>
        <w:tc>
          <w:tcPr>
            <w:tcW w:w="1701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Test</w:t>
            </w:r>
          </w:p>
        </w:tc>
        <w:tc>
          <w:tcPr>
            <w:tcW w:w="1842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Wiskunde</w:t>
            </w:r>
            <w:proofErr w:type="spellEnd"/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1D0A09" w:rsidRDefault="00E0124E" w:rsidP="00F70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Tutoriaal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Meting</w:t>
            </w:r>
          </w:p>
        </w:tc>
        <w:tc>
          <w:tcPr>
            <w:tcW w:w="1418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Tutoriaal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Tyd</w:t>
            </w:r>
            <w:proofErr w:type="spellEnd"/>
          </w:p>
        </w:tc>
        <w:tc>
          <w:tcPr>
            <w:tcW w:w="1701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Tutoriaal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Omtrek</w:t>
            </w:r>
            <w:proofErr w:type="spellEnd"/>
          </w:p>
        </w:tc>
        <w:tc>
          <w:tcPr>
            <w:tcW w:w="184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NWT</w:t>
            </w: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Robotika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prakties</w:t>
            </w:r>
            <w:proofErr w:type="spellEnd"/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Sosiale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Wetenskappe</w:t>
            </w:r>
            <w:proofErr w:type="spellEnd"/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0124E" w:rsidRDefault="00E0124E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Weervoor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Spelling </w:t>
            </w:r>
          </w:p>
        </w:tc>
        <w:tc>
          <w:tcPr>
            <w:tcW w:w="1701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Egipte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Taak</w:t>
            </w:r>
            <w:proofErr w:type="spellEnd"/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Lewensvaardighede</w:t>
            </w:r>
            <w:proofErr w:type="spellEnd"/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LO: PT</w:t>
            </w:r>
          </w:p>
        </w:tc>
        <w:tc>
          <w:tcPr>
            <w:tcW w:w="1842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Navorsings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LO: PT</w:t>
            </w: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Kuns</w:t>
            </w:r>
            <w:proofErr w:type="spellEnd"/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E0124E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met </w:t>
            </w:r>
            <w:proofErr w:type="spellStart"/>
            <w:r>
              <w:rPr>
                <w:rFonts w:ascii="Arial" w:hAnsi="Arial" w:cs="Arial"/>
              </w:rPr>
              <w:t>prakties</w:t>
            </w:r>
            <w:proofErr w:type="spellEnd"/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7CCF" w:rsidRDefault="00D87CCF" w:rsidP="00D87CCF"/>
    <w:sectPr w:rsidR="00D87CCF" w:rsidSect="00D87CCF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06E"/>
    <w:multiLevelType w:val="hybridMultilevel"/>
    <w:tmpl w:val="EC1206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CF"/>
    <w:rsid w:val="001B13E7"/>
    <w:rsid w:val="001D0A09"/>
    <w:rsid w:val="003D1F51"/>
    <w:rsid w:val="003F381D"/>
    <w:rsid w:val="004E60C8"/>
    <w:rsid w:val="008863B6"/>
    <w:rsid w:val="00D077DB"/>
    <w:rsid w:val="00D87CCF"/>
    <w:rsid w:val="00DD4DAD"/>
    <w:rsid w:val="00E0124E"/>
    <w:rsid w:val="00F70B28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561FB-4B07-4FA5-86F4-BE8F0741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CF"/>
    <w:pPr>
      <w:ind w:left="720"/>
      <w:contextualSpacing/>
    </w:pPr>
  </w:style>
  <w:style w:type="table" w:styleId="TableGrid">
    <w:name w:val="Table Grid"/>
    <w:basedOn w:val="TableNormal"/>
    <w:uiPriority w:val="39"/>
    <w:rsid w:val="00D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Lizle Smit [Educator - Curro Kathu All schools]</dc:creator>
  <cp:keywords/>
  <dc:description/>
  <cp:lastModifiedBy>Lizle Smit [Educator - Curro Kathu Primary School]</cp:lastModifiedBy>
  <cp:revision>3</cp:revision>
  <dcterms:created xsi:type="dcterms:W3CDTF">2016-07-24T20:07:00Z</dcterms:created>
  <dcterms:modified xsi:type="dcterms:W3CDTF">2016-07-25T06:50:00Z</dcterms:modified>
</cp:coreProperties>
</file>